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95E" w:rsidRDefault="0019295E" w:rsidP="0019295E">
      <w:pPr>
        <w:pStyle w:val="PlainText"/>
      </w:pPr>
      <w:r>
        <w:t>Subject:  Reminder to Identify Hazardous Materials on the DIBBS Quote</w:t>
      </w:r>
    </w:p>
    <w:p w:rsidR="0019295E" w:rsidRDefault="0019295E" w:rsidP="0019295E">
      <w:pPr>
        <w:pStyle w:val="PlainText"/>
      </w:pPr>
    </w:p>
    <w:p w:rsidR="0019295E" w:rsidRDefault="0019295E" w:rsidP="0019295E">
      <w:pPr>
        <w:pStyle w:val="PlainText"/>
      </w:pPr>
      <w:r>
        <w:rPr>
          <w:noProof/>
        </w:rPr>
        <mc:AlternateContent>
          <mc:Choice Requires="wps">
            <w:drawing>
              <wp:anchor distT="0" distB="0" distL="114300" distR="114300" simplePos="0" relativeHeight="251659264" behindDoc="0" locked="0" layoutInCell="1" allowOverlap="1">
                <wp:simplePos x="0" y="0"/>
                <wp:positionH relativeFrom="column">
                  <wp:posOffset>1752599</wp:posOffset>
                </wp:positionH>
                <wp:positionV relativeFrom="paragraph">
                  <wp:posOffset>325755</wp:posOffset>
                </wp:positionV>
                <wp:extent cx="364490" cy="1352550"/>
                <wp:effectExtent l="38100" t="0" r="35560" b="57150"/>
                <wp:wrapNone/>
                <wp:docPr id="3" name="Straight Arrow Connector 3"/>
                <wp:cNvGraphicFramePr/>
                <a:graphic xmlns:a="http://schemas.openxmlformats.org/drawingml/2006/main">
                  <a:graphicData uri="http://schemas.microsoft.com/office/word/2010/wordprocessingShape">
                    <wps:wsp>
                      <wps:cNvCnPr/>
                      <wps:spPr>
                        <a:xfrm flipH="1">
                          <a:off x="0" y="0"/>
                          <a:ext cx="364490" cy="13525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D14B4C9" id="_x0000_t32" coordsize="21600,21600" o:spt="32" o:oned="t" path="m,l21600,21600e" filled="f">
                <v:path arrowok="t" fillok="f" o:connecttype="none"/>
                <o:lock v:ext="edit" shapetype="t"/>
              </v:shapetype>
              <v:shape id="Straight Arrow Connector 3" o:spid="_x0000_s1026" type="#_x0000_t32" style="position:absolute;margin-left:138pt;margin-top:25.65pt;width:28.7pt;height:106.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" strokecolor="#ed7d31 [3205]" strokeweight=".5pt">
                <v:stroke endarrow="block" joinstyle="miter"/>
              </v:shape>
            </w:pict>
          </mc:Fallback>
        </mc:AlternateContent>
      </w:r>
      <w:r>
        <w:t>A Material Safety Data Sheet and product labeling are required for hazardous materials delivered to the Government.  At the “Hazardous Material Identification and Material Safety Data” section of the DIBBS quote, the Contractor must state whether the offer includes Hazardous Material, as defined in FAR 52.223-3, by selecting “NO</w:t>
      </w:r>
      <w:r w:rsidR="005C34BC">
        <w:t>”</w:t>
      </w:r>
      <w:r>
        <w:t xml:space="preserve"> or “YES”.  If “Yes,” FAR 52.223-3 and </w:t>
      </w:r>
      <w:proofErr w:type="spellStart"/>
      <w:r>
        <w:t>DFARS</w:t>
      </w:r>
      <w:proofErr w:type="spellEnd"/>
      <w:r>
        <w:t xml:space="preserve"> 252.223-7001 are applicable to the contract/order.</w:t>
      </w:r>
    </w:p>
    <w:p w:rsidR="0019295E" w:rsidRDefault="0019295E" w:rsidP="0019295E">
      <w:pPr>
        <w:pStyle w:val="PlainText"/>
      </w:pPr>
      <w:r>
        <w:rPr>
          <w:noProof/>
        </w:rPr>
        <w:drawing>
          <wp:inline distT="0" distB="0" distL="0" distR="0">
            <wp:extent cx="5943600" cy="3343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r>
        <w:rPr>
          <w:noProof/>
        </w:rPr>
        <w:t xml:space="preserve"> </w:t>
      </w:r>
    </w:p>
    <w:p w:rsidR="0019295E" w:rsidRDefault="0019295E" w:rsidP="0019295E">
      <w:pPr>
        <w:pStyle w:val="PlainText"/>
      </w:pPr>
    </w:p>
    <w:p w:rsidR="00A64142" w:rsidRDefault="00A64142" w:rsidP="00E111E1">
      <w:pPr>
        <w:pStyle w:val="PlainText"/>
      </w:pPr>
    </w:p>
    <w:p w:rsidR="00A64142" w:rsidRDefault="00A64142">
      <w:pPr>
        <w:rPr>
          <w:rFonts w:ascii="Calibri" w:hAnsi="Calibri"/>
          <w:szCs w:val="21"/>
        </w:rPr>
      </w:pPr>
      <w:r>
        <w:br w:type="page"/>
      </w:r>
    </w:p>
    <w:p w:rsidR="00E111E1" w:rsidRDefault="0019295E" w:rsidP="00E111E1">
      <w:pPr>
        <w:pStyle w:val="PlainText"/>
      </w:pPr>
      <w:r>
        <w:t xml:space="preserve">If hazardous material is being offered, the </w:t>
      </w:r>
      <w:r w:rsidR="00E111E1" w:rsidRPr="00E111E1">
        <w:t>Contractor</w:t>
      </w:r>
      <w:r w:rsidR="00E111E1">
        <w:t xml:space="preserve"> </w:t>
      </w:r>
      <w:r w:rsidR="00E111E1" w:rsidRPr="00E111E1">
        <w:t>shall</w:t>
      </w:r>
      <w:r w:rsidR="00E111E1">
        <w:t xml:space="preserve"> indicate </w:t>
      </w:r>
      <w:r w:rsidR="00A64142">
        <w:t xml:space="preserve">rather the Hazardous Warning Labels will be in accordance with the </w:t>
      </w:r>
      <w:r w:rsidR="00A64142" w:rsidRPr="00A64142">
        <w:t xml:space="preserve">Hazard Communication Standard (29 CFR 1910.1200 et </w:t>
      </w:r>
      <w:proofErr w:type="spellStart"/>
      <w:r w:rsidR="00A64142" w:rsidRPr="00A64142">
        <w:t>seq</w:t>
      </w:r>
      <w:proofErr w:type="spellEnd"/>
      <w:r w:rsidR="00A64142" w:rsidRPr="00A64142">
        <w:t>)</w:t>
      </w:r>
      <w:r w:rsidR="00A64142">
        <w:t>, or one of the following statute</w:t>
      </w:r>
      <w:r w:rsidR="00E111E1">
        <w:t>s</w:t>
      </w:r>
      <w:r w:rsidR="00A64142">
        <w:t xml:space="preserve">: </w:t>
      </w:r>
    </w:p>
    <w:p w:rsidR="00A64142" w:rsidRDefault="00A64142" w:rsidP="00A64142">
      <w:pPr>
        <w:pStyle w:val="PlainText"/>
        <w:ind w:left="1440" w:firstLine="720"/>
      </w:pPr>
      <w:r>
        <w:t>Federal Insecticide, Fungicide and Rodenticide Act;</w:t>
      </w:r>
    </w:p>
    <w:p w:rsidR="00A64142" w:rsidRDefault="00A64142" w:rsidP="00A64142">
      <w:pPr>
        <w:pStyle w:val="PlainText"/>
        <w:ind w:left="2160"/>
      </w:pPr>
      <w:r>
        <w:t>Federal Food, Drug and Cosmetics Act;</w:t>
      </w:r>
    </w:p>
    <w:p w:rsidR="00A64142" w:rsidRDefault="00A64142" w:rsidP="00A64142">
      <w:pPr>
        <w:pStyle w:val="PlainText"/>
        <w:ind w:left="1440" w:firstLine="720"/>
      </w:pPr>
      <w:r>
        <w:t>Consumer Product Safety Act;</w:t>
      </w:r>
    </w:p>
    <w:p w:rsidR="00A64142" w:rsidRDefault="00A64142" w:rsidP="00A64142">
      <w:pPr>
        <w:pStyle w:val="PlainText"/>
        <w:ind w:left="1440" w:firstLine="720"/>
      </w:pPr>
      <w:r>
        <w:t>Federal Hazardous Substances Act; or</w:t>
      </w:r>
    </w:p>
    <w:p w:rsidR="00A64142" w:rsidRDefault="00A64142" w:rsidP="00A64142">
      <w:pPr>
        <w:pStyle w:val="PlainText"/>
        <w:ind w:left="1440" w:firstLine="720"/>
      </w:pPr>
      <w:r>
        <w:t>Federal Alcohol Administration Act.</w:t>
      </w:r>
    </w:p>
    <w:p w:rsidR="0019295E" w:rsidRDefault="00A64142" w:rsidP="0019295E">
      <w:pPr>
        <w:pStyle w:val="PlainText"/>
      </w:pPr>
      <w:r>
        <w:rPr>
          <w:noProof/>
        </w:rPr>
        <mc:AlternateContent>
          <mc:Choice Requires="wps">
            <w:drawing>
              <wp:anchor distT="0" distB="0" distL="114300" distR="114300" simplePos="0" relativeHeight="251660288" behindDoc="0" locked="0" layoutInCell="1" allowOverlap="1">
                <wp:simplePos x="0" y="0"/>
                <wp:positionH relativeFrom="column">
                  <wp:posOffset>2257424</wp:posOffset>
                </wp:positionH>
                <wp:positionV relativeFrom="paragraph">
                  <wp:posOffset>74294</wp:posOffset>
                </wp:positionV>
                <wp:extent cx="1000125" cy="1476375"/>
                <wp:effectExtent l="0" t="0" r="66675" b="47625"/>
                <wp:wrapNone/>
                <wp:docPr id="2" name="Straight Arrow Connector 2"/>
                <wp:cNvGraphicFramePr/>
                <a:graphic xmlns:a="http://schemas.openxmlformats.org/drawingml/2006/main">
                  <a:graphicData uri="http://schemas.microsoft.com/office/word/2010/wordprocessingShape">
                    <wps:wsp>
                      <wps:cNvCnPr/>
                      <wps:spPr>
                        <a:xfrm>
                          <a:off x="0" y="0"/>
                          <a:ext cx="1000125" cy="147637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343DF6B0" id="Straight Arrow Connector 2" o:spid="_x0000_s1026" type="#_x0000_t32" style="position:absolute;margin-left:177.75pt;margin-top:5.85pt;width:78.75pt;height:116.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" strokecolor="#ed7d31 [3205]" strokeweight=".5pt">
                <v:stroke endarrow="block" joinstyle="miter"/>
              </v:shape>
            </w:pict>
          </mc:Fallback>
        </mc:AlternateContent>
      </w:r>
    </w:p>
    <w:p w:rsidR="00A83A65" w:rsidRDefault="0019295E">
      <w:r>
        <w:rPr>
          <w:noProof/>
        </w:rPr>
        <w:drawing>
          <wp:inline distT="0" distB="0" distL="0" distR="0" wp14:anchorId="4B84B8CB" wp14:editId="3DB21A70">
            <wp:extent cx="5943600" cy="3341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341370"/>
                    </a:xfrm>
                    <a:prstGeom prst="rect">
                      <a:avLst/>
                    </a:prstGeom>
                  </pic:spPr>
                </pic:pic>
              </a:graphicData>
            </a:graphic>
          </wp:inline>
        </w:drawing>
      </w:r>
    </w:p>
    <w:sectPr w:rsidR="00A83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95E"/>
    <w:rsid w:val="001315CD"/>
    <w:rsid w:val="0019295E"/>
    <w:rsid w:val="005C34BC"/>
    <w:rsid w:val="00A64142"/>
    <w:rsid w:val="00A83A65"/>
    <w:rsid w:val="00DA6FAC"/>
    <w:rsid w:val="00E11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3A6F19-5649-4D04-9BDF-5CD03D6F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9295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9295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73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Defense Logistics Agency</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Koster, Michael A CIV (US)</dc:creator>
  <cp:keywords/>
  <dc:description/>
  <cp:lastModifiedBy>Koster, Michael A CIV (US)</cp:lastModifiedBy>
  <cp:revision>2</cp:revision>
  <dcterms:created xsi:type="dcterms:W3CDTF">2017-02-08T13:51:00Z</dcterms:created>
  <dcterms:modified xsi:type="dcterms:W3CDTF">2017-02-08T15:12:00Z</dcterms:modified>
</cp:coreProperties>
</file>